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ind w:left="5670"/>
        <w:outlineLvl w:val="1"/>
        <w:rPr>
          <w:bCs/>
          <w:sz w:val="28"/>
          <w:szCs w:val="28"/>
          <w:lang w:val="ru-RU" w:eastAsia="ru-RU"/>
        </w:rPr>
      </w:pPr>
      <w:r w:rsidRPr="00A70897">
        <w:rPr>
          <w:bCs/>
          <w:sz w:val="28"/>
          <w:szCs w:val="28"/>
          <w:lang w:val="ru-RU" w:eastAsia="ru-RU"/>
        </w:rPr>
        <w:t xml:space="preserve">УТВЕРЖДЕНО </w:t>
      </w: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ind w:left="5670"/>
        <w:outlineLvl w:val="1"/>
        <w:rPr>
          <w:bCs/>
          <w:sz w:val="28"/>
          <w:szCs w:val="28"/>
          <w:lang w:val="ru-RU" w:eastAsia="ru-RU"/>
        </w:rPr>
      </w:pPr>
      <w:r w:rsidRPr="00A70897">
        <w:rPr>
          <w:bCs/>
          <w:sz w:val="28"/>
          <w:szCs w:val="28"/>
          <w:lang w:val="ru-RU" w:eastAsia="ru-RU"/>
        </w:rPr>
        <w:t xml:space="preserve">решением Думы Соликамского городского округа </w:t>
      </w: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ind w:left="5670"/>
        <w:outlineLvl w:val="1"/>
        <w:rPr>
          <w:bCs/>
          <w:sz w:val="28"/>
          <w:szCs w:val="28"/>
          <w:lang w:val="ru-RU" w:eastAsia="ru-RU"/>
        </w:rPr>
      </w:pPr>
      <w:r w:rsidRPr="00A70897">
        <w:rPr>
          <w:bCs/>
          <w:sz w:val="28"/>
          <w:szCs w:val="28"/>
          <w:lang w:val="ru-RU" w:eastAsia="ru-RU"/>
        </w:rPr>
        <w:t>от</w:t>
      </w:r>
      <w:r w:rsidR="00C940C5">
        <w:rPr>
          <w:bCs/>
          <w:sz w:val="28"/>
          <w:szCs w:val="28"/>
          <w:lang w:val="ru-RU" w:eastAsia="ru-RU"/>
        </w:rPr>
        <w:t xml:space="preserve"> 28.06.2021 </w:t>
      </w:r>
      <w:r w:rsidRPr="00A70897">
        <w:rPr>
          <w:bCs/>
          <w:sz w:val="28"/>
          <w:szCs w:val="28"/>
          <w:lang w:val="ru-RU" w:eastAsia="ru-RU"/>
        </w:rPr>
        <w:t xml:space="preserve">№ </w:t>
      </w:r>
      <w:r w:rsidR="00C940C5">
        <w:rPr>
          <w:bCs/>
          <w:sz w:val="28"/>
          <w:szCs w:val="28"/>
          <w:lang w:val="ru-RU" w:eastAsia="ru-RU"/>
        </w:rPr>
        <w:t>938</w:t>
      </w:r>
      <w:bookmarkStart w:id="0" w:name="_GoBack"/>
      <w:bookmarkEnd w:id="0"/>
    </w:p>
    <w:p w:rsidR="00685825" w:rsidRPr="00A70897" w:rsidRDefault="00685825" w:rsidP="00685825">
      <w:pPr>
        <w:autoSpaceDE w:val="0"/>
        <w:autoSpaceDN w:val="0"/>
        <w:adjustRightInd w:val="0"/>
        <w:spacing w:before="480"/>
        <w:jc w:val="center"/>
        <w:outlineLvl w:val="1"/>
        <w:rPr>
          <w:b/>
          <w:bCs/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lang w:val="ru-RU" w:eastAsia="ru-RU"/>
        </w:rPr>
      </w:pPr>
      <w:r w:rsidRPr="00A70897">
        <w:rPr>
          <w:b/>
          <w:bCs/>
          <w:sz w:val="28"/>
          <w:szCs w:val="28"/>
          <w:lang w:val="ru-RU" w:eastAsia="ru-RU"/>
        </w:rPr>
        <w:t>ПОЛОЖЕНИЕ</w:t>
      </w:r>
    </w:p>
    <w:p w:rsidR="00685825" w:rsidRPr="00A70897" w:rsidRDefault="00685825" w:rsidP="00685825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lang w:val="ru-RU" w:eastAsia="ru-RU"/>
        </w:rPr>
      </w:pPr>
      <w:r w:rsidRPr="00A70897">
        <w:rPr>
          <w:b/>
          <w:bCs/>
          <w:sz w:val="28"/>
          <w:szCs w:val="28"/>
          <w:lang w:val="ru-RU" w:eastAsia="ru-RU"/>
        </w:rPr>
        <w:t>о сообщении лицами, замещающими муниципальные должности, должности муниципальной службы в органах местного самоуправления Соликамского городского округа,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685825" w:rsidRPr="00A70897" w:rsidRDefault="00685825" w:rsidP="00685825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bCs/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 xml:space="preserve">1. Настоящее Положение </w:t>
      </w:r>
      <w:r w:rsidRPr="00A70897">
        <w:rPr>
          <w:bCs/>
          <w:sz w:val="28"/>
          <w:szCs w:val="28"/>
          <w:lang w:val="ru-RU" w:eastAsia="ru-RU"/>
        </w:rPr>
        <w:t xml:space="preserve">о сообщении лицами, замещающими муниципальные должности, должности муниципальной службы в органах местного самоуправления Соликамского городского округа,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 (далее - Положение) </w:t>
      </w:r>
      <w:r w:rsidRPr="00A70897">
        <w:rPr>
          <w:sz w:val="28"/>
          <w:szCs w:val="28"/>
          <w:lang w:val="ru-RU" w:eastAsia="ru-RU"/>
        </w:rPr>
        <w:t>определяет порядок сообщения лицами, замещающими муниципальные должности, муниципальными служащими Соликамского городского округа (далее – 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2. Для целей настоящего Положения используются следующие понятия: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подарок, полученный в связи с протокольными мероприятиями, служебными командировками и другими официальными мероприятиями - подарок, полученный лицом, замещающим муниципальную должность, муниципальным служащим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lastRenderedPageBreak/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- получение лицом, замещающим муниципальную должность,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3. Лица, замещающие муниципальные должности, муниципальные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4. Лица, замещающие муниципальные должности, муниципальные служащие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орган местного самоуправления (отраслевой (функциональный) орган администрации Соликамского городского округа), в которых указанные лица проходят муниципальную службу или осуществляют трудовую деятельность.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bookmarkStart w:id="1" w:name="Par20"/>
      <w:bookmarkEnd w:id="1"/>
      <w:r w:rsidRPr="00A70897">
        <w:rPr>
          <w:sz w:val="28"/>
          <w:szCs w:val="28"/>
          <w:lang w:val="ru-RU" w:eastAsia="ru-RU"/>
        </w:rPr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Приложению к настоящему Положению, представляется не позднее 3 рабочих дней со дня получения подарка уполномоченному лицу органа местного самоуправления (отраслевого (функционального) органа администрации Соликамского городского округа), в которых лицо, замещающее муниципальную должность, муниципальный служащий проходят муниципальную службу или осуществляют трудовую деятельность (далее - уполномоченное лицо).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bookmarkStart w:id="2" w:name="Par22"/>
      <w:bookmarkEnd w:id="2"/>
      <w:r w:rsidRPr="00A70897">
        <w:rPr>
          <w:sz w:val="28"/>
          <w:szCs w:val="28"/>
          <w:lang w:val="ru-RU" w:eastAsia="ru-RU"/>
        </w:rPr>
        <w:lastRenderedPageBreak/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При невозможности подачи уведомления в сроки, указанные в абзацах первом и втором настоящего пункта, по причине, не зависящей от лица, замещающего муниципальную должность, муниципального служащего, оно представляется не позднее следующего дня после ее устранения.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органа местного самоуправления (отраслевого (функционального) органа администрации Соликамского городского округа), образованные в соответствии с законодательством о бухгалтерском учете (далее - комиссия).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bookmarkStart w:id="3" w:name="Par26"/>
      <w:bookmarkEnd w:id="3"/>
      <w:r w:rsidRPr="00A70897">
        <w:rPr>
          <w:sz w:val="28"/>
          <w:szCs w:val="28"/>
          <w:lang w:val="ru-RU" w:eastAsia="ru-RU"/>
        </w:rPr>
        <w:t xml:space="preserve">7. Подарок, стоимость которого подтверждается документами и превышает 3 тыс. рублей либо стоимость которого </w:t>
      </w:r>
      <w:r w:rsidRPr="00793A7D">
        <w:rPr>
          <w:sz w:val="28"/>
          <w:szCs w:val="28"/>
          <w:lang w:val="ru-RU" w:eastAsia="ru-RU"/>
        </w:rPr>
        <w:t>получившим его</w:t>
      </w:r>
      <w:r w:rsidRPr="00A70897">
        <w:rPr>
          <w:sz w:val="28"/>
          <w:szCs w:val="28"/>
          <w:lang w:val="ru-RU" w:eastAsia="ru-RU"/>
        </w:rPr>
        <w:t xml:space="preserve"> муниципальному служащему неизвестна, сдается материально ответственному лицу органа местного самоуправления (отраслевого (функционального) органа администрации Соликамского городского округа),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пунктом 7 настоящего Положения.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10. В целях принятия к бухгалтерскому учету подарка в порядке, установленном законодательством Российской Федерации, комиссией определяется его стоимость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11. Уполномоченное лицо обеспечивает постановку на учет в установленном порядке принятого к бухгалтерскому учету подарка, стоимость которого превышает 3 тыс. рублей, на балансовые счета органа местного самоуправления (отраслевого (функционального) органа администрации Соликамского городского округа) и включение в реестр муниципального имущества.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lastRenderedPageBreak/>
        <w:t>Подарки, стоимость которых превышает 3 тыс. рублей, признаются собственностью Соликамского городского округа.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Подарок числится в составе имущества казны Соликамского городского округа и находится на хранении в органе местного самоуправления (отраслевом (функциональном) органе администрации Соликамского городского округа).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 xml:space="preserve">Учет муниципального имущества в реестре муниципального имущества осуществляется в соответствии с Приказом Минэкономразвития России от 30 августа </w:t>
      </w:r>
      <w:smartTag w:uri="urn:schemas-microsoft-com:office:smarttags" w:element="metricconverter">
        <w:smartTagPr>
          <w:attr w:name="ProductID" w:val="2011 г"/>
        </w:smartTagPr>
        <w:r w:rsidRPr="00A70897">
          <w:rPr>
            <w:sz w:val="28"/>
            <w:szCs w:val="28"/>
            <w:lang w:val="ru-RU" w:eastAsia="ru-RU"/>
          </w:rPr>
          <w:t>2011 г</w:t>
        </w:r>
      </w:smartTag>
      <w:r w:rsidRPr="00A70897">
        <w:rPr>
          <w:sz w:val="28"/>
          <w:szCs w:val="28"/>
          <w:lang w:val="ru-RU" w:eastAsia="ru-RU"/>
        </w:rPr>
        <w:t>. № 424 «Об утверждении Порядка ведения органами местного самоуправления реестров муниципального имущества».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bookmarkStart w:id="4" w:name="Par33"/>
      <w:bookmarkEnd w:id="4"/>
      <w:r w:rsidRPr="00A70897">
        <w:rPr>
          <w:sz w:val="28"/>
          <w:szCs w:val="28"/>
          <w:lang w:val="ru-RU" w:eastAsia="ru-RU"/>
        </w:rPr>
        <w:t>12. Лицо, замещающее муниципальную должность, муниципальный служащий, сдавшие подарок, могут его выкупить, направив на имя представителя нанимателя (работодателя) соответствующее заявление не позднее 2 месяцев со дня сдачи подарка.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bookmarkStart w:id="5" w:name="Par34"/>
      <w:bookmarkEnd w:id="5"/>
      <w:r w:rsidRPr="00A70897">
        <w:rPr>
          <w:sz w:val="28"/>
          <w:szCs w:val="28"/>
          <w:lang w:val="ru-RU" w:eastAsia="ru-RU"/>
        </w:rPr>
        <w:t>13. Уполномоченное лицо 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14. В случае если в отношении подарка, изготовленного из драгоценных металлов и (или) драгоценных камней, не поступило от лиц, замещающих муниципальные должности,  муниципальных служащих заявление, указанное в пункте 12 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уполномоченным лицом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15. Подарок, в отношении которого не поступило заявление, указанное в пункте 12 настоящего Положения, или при отказе от его выкупа может использоваться органом местного самоуправления (отраслевым (функциональным) органом администрации Соликамского городского округа) с учетом заключения комиссии о целесообразности использования подарка для обеспечения деятельности органа местного самоуправления (отраслевого (функционального) органа администрации Соликамского городского округа).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bookmarkStart w:id="6" w:name="Par39"/>
      <w:bookmarkEnd w:id="6"/>
      <w:r w:rsidRPr="00A70897">
        <w:rPr>
          <w:sz w:val="28"/>
          <w:szCs w:val="28"/>
          <w:lang w:val="ru-RU" w:eastAsia="ru-RU"/>
        </w:rPr>
        <w:lastRenderedPageBreak/>
        <w:t>16. В случае нецелесообразности использования подарка руководителем органа местного самоуправления (отраслевого (функционального) органа администрации Соликамского городского округа) принимается решение о реализации подарка и проведении оценки его стоимости для реализации (выкупа), осуществляемой уполномоченными органами посредством проведения торгов в порядке, предусмотренном законодательством Российской Федерации.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17. Оценка стоимости подарка для реализации (выкупа), предусмотренная пунктами 13 и 16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18. В случае если подарок не выкуплен или не реализован, руководителем органа местного самоуправления (отраслевого (функционального) органа администрации Соликамского городского округа)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685825" w:rsidRPr="00A70897" w:rsidRDefault="00685825" w:rsidP="0068582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 xml:space="preserve">Безвозмездная передача подарка на баланс благотворительной организации осуществляется в соответствии </w:t>
      </w:r>
      <w:r w:rsidRPr="00643269">
        <w:rPr>
          <w:sz w:val="28"/>
          <w:szCs w:val="28"/>
          <w:lang w:val="ru-RU" w:eastAsia="ru-RU"/>
        </w:rPr>
        <w:t>с муниципальным правовым актом, определяющим порядок управления имуществом, находящимся в муниципальной собственн</w:t>
      </w:r>
      <w:r>
        <w:rPr>
          <w:sz w:val="28"/>
          <w:szCs w:val="28"/>
          <w:lang w:val="ru-RU" w:eastAsia="ru-RU"/>
        </w:rPr>
        <w:t>ости.</w:t>
      </w:r>
    </w:p>
    <w:p w:rsidR="00685825" w:rsidRPr="00A70897" w:rsidRDefault="00685825" w:rsidP="0068582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19. Средства, вырученные от реализации (выкупа) подарка, зачисляются в доход бюджета Соликамского городского округа в порядке, установленном бюджетным законодательством Российской Федерации</w:t>
      </w:r>
      <w:bookmarkStart w:id="7" w:name="Par48"/>
      <w:bookmarkEnd w:id="7"/>
      <w:r w:rsidRPr="00A70897">
        <w:rPr>
          <w:sz w:val="28"/>
          <w:szCs w:val="28"/>
          <w:lang w:val="ru-RU" w:eastAsia="ru-RU"/>
        </w:rPr>
        <w:t>.</w:t>
      </w: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60399">
      <w:pPr>
        <w:autoSpaceDE w:val="0"/>
        <w:autoSpaceDN w:val="0"/>
        <w:adjustRightInd w:val="0"/>
        <w:spacing w:line="240" w:lineRule="exact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lastRenderedPageBreak/>
        <w:t>Приложение</w:t>
      </w:r>
    </w:p>
    <w:p w:rsidR="00685825" w:rsidRPr="00A70897" w:rsidRDefault="00685825" w:rsidP="00685825">
      <w:pPr>
        <w:autoSpaceDE w:val="0"/>
        <w:autoSpaceDN w:val="0"/>
        <w:adjustRightInd w:val="0"/>
        <w:spacing w:line="240" w:lineRule="exact"/>
        <w:ind w:left="4248" w:firstLine="708"/>
        <w:jc w:val="right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 xml:space="preserve">к Положению </w:t>
      </w:r>
      <w:r w:rsidRPr="00A70897">
        <w:rPr>
          <w:bCs/>
          <w:sz w:val="28"/>
          <w:szCs w:val="28"/>
          <w:lang w:val="ru-RU" w:eastAsia="ru-RU"/>
        </w:rPr>
        <w:t>о сообщении лицами, замещающими муниципальные должности, должности муниципальной службы в органах местного самоуправления Соликамского городского округа,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685825" w:rsidRPr="00A70897" w:rsidRDefault="00685825" w:rsidP="0068582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Уведомление о получении подарка</w:t>
      </w:r>
    </w:p>
    <w:p w:rsidR="00685825" w:rsidRPr="00A70897" w:rsidRDefault="00685825" w:rsidP="00685825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ind w:left="3600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_________________</w:t>
      </w:r>
      <w:r>
        <w:rPr>
          <w:sz w:val="28"/>
          <w:szCs w:val="28"/>
          <w:lang w:val="ru-RU" w:eastAsia="ru-RU"/>
        </w:rPr>
        <w:t>__________________________</w:t>
      </w:r>
    </w:p>
    <w:p w:rsidR="00685825" w:rsidRPr="00A70897" w:rsidRDefault="00685825" w:rsidP="00685825">
      <w:pPr>
        <w:autoSpaceDE w:val="0"/>
        <w:autoSpaceDN w:val="0"/>
        <w:adjustRightInd w:val="0"/>
        <w:ind w:left="3600"/>
        <w:outlineLvl w:val="0"/>
        <w:rPr>
          <w:lang w:val="ru-RU" w:eastAsia="ru-RU"/>
        </w:rPr>
      </w:pPr>
      <w:r>
        <w:rPr>
          <w:lang w:val="ru-RU" w:eastAsia="ru-RU"/>
        </w:rPr>
        <w:t xml:space="preserve">        </w:t>
      </w:r>
      <w:r w:rsidRPr="00A70897">
        <w:rPr>
          <w:lang w:val="ru-RU" w:eastAsia="ru-RU"/>
        </w:rPr>
        <w:t>(наименование органа местного самоуправления</w:t>
      </w:r>
    </w:p>
    <w:p w:rsidR="00685825" w:rsidRPr="00A70897" w:rsidRDefault="00685825" w:rsidP="00685825">
      <w:pPr>
        <w:autoSpaceDE w:val="0"/>
        <w:autoSpaceDN w:val="0"/>
        <w:adjustRightInd w:val="0"/>
        <w:ind w:left="3600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___________________________________________</w:t>
      </w:r>
    </w:p>
    <w:p w:rsidR="00685825" w:rsidRPr="00A70897" w:rsidRDefault="00685825" w:rsidP="00685825">
      <w:pPr>
        <w:autoSpaceDE w:val="0"/>
        <w:autoSpaceDN w:val="0"/>
        <w:adjustRightInd w:val="0"/>
        <w:ind w:left="3600"/>
        <w:outlineLvl w:val="0"/>
        <w:rPr>
          <w:sz w:val="28"/>
          <w:szCs w:val="28"/>
          <w:lang w:val="ru-RU" w:eastAsia="ru-RU"/>
        </w:rPr>
      </w:pPr>
      <w:r>
        <w:rPr>
          <w:lang w:val="ru-RU" w:eastAsia="ru-RU"/>
        </w:rPr>
        <w:t xml:space="preserve">                   </w:t>
      </w:r>
      <w:r w:rsidRPr="00A70897">
        <w:rPr>
          <w:lang w:val="ru-RU" w:eastAsia="ru-RU"/>
        </w:rPr>
        <w:t>(отраслевого (функционального) органа</w:t>
      </w:r>
      <w:r w:rsidRPr="00A70897">
        <w:rPr>
          <w:sz w:val="28"/>
          <w:szCs w:val="28"/>
          <w:lang w:val="ru-RU" w:eastAsia="ru-RU"/>
        </w:rPr>
        <w:t xml:space="preserve">          ___________________________________________</w:t>
      </w:r>
    </w:p>
    <w:p w:rsidR="00685825" w:rsidRPr="00A70897" w:rsidRDefault="00685825" w:rsidP="00685825">
      <w:pPr>
        <w:autoSpaceDE w:val="0"/>
        <w:autoSpaceDN w:val="0"/>
        <w:adjustRightInd w:val="0"/>
        <w:ind w:left="3600"/>
        <w:outlineLvl w:val="0"/>
        <w:rPr>
          <w:lang w:val="ru-RU" w:eastAsia="ru-RU"/>
        </w:rPr>
      </w:pPr>
      <w:r>
        <w:rPr>
          <w:lang w:val="ru-RU" w:eastAsia="ru-RU"/>
        </w:rPr>
        <w:t xml:space="preserve">          </w:t>
      </w:r>
      <w:r w:rsidRPr="00A70897">
        <w:rPr>
          <w:lang w:val="ru-RU" w:eastAsia="ru-RU"/>
        </w:rPr>
        <w:t>администрации Соликамского городского округа)</w:t>
      </w:r>
    </w:p>
    <w:p w:rsidR="00685825" w:rsidRPr="00A70897" w:rsidRDefault="00685825" w:rsidP="00685825">
      <w:pPr>
        <w:autoSpaceDE w:val="0"/>
        <w:autoSpaceDN w:val="0"/>
        <w:adjustRightInd w:val="0"/>
        <w:ind w:left="3600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от ________________________________________</w:t>
      </w:r>
    </w:p>
    <w:p w:rsidR="00685825" w:rsidRPr="00A70897" w:rsidRDefault="00685825" w:rsidP="00685825">
      <w:pPr>
        <w:autoSpaceDE w:val="0"/>
        <w:autoSpaceDN w:val="0"/>
        <w:adjustRightInd w:val="0"/>
        <w:ind w:left="3600"/>
        <w:outlineLvl w:val="0"/>
        <w:rPr>
          <w:lang w:val="ru-RU" w:eastAsia="ru-RU"/>
        </w:rPr>
      </w:pPr>
      <w:r>
        <w:rPr>
          <w:lang w:val="ru-RU" w:eastAsia="ru-RU"/>
        </w:rPr>
        <w:t xml:space="preserve">                          </w:t>
      </w:r>
      <w:r w:rsidRPr="00A70897">
        <w:rPr>
          <w:lang w:val="ru-RU" w:eastAsia="ru-RU"/>
        </w:rPr>
        <w:t>(ф.и.о., занимаемая должность)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 xml:space="preserve">         Уведомление о получении подарка от «__» ________ 20__ г.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 xml:space="preserve">    Извещаю о получении _______________________________________________</w:t>
      </w:r>
    </w:p>
    <w:p w:rsidR="00685825" w:rsidRPr="00B70AA4" w:rsidRDefault="00685825" w:rsidP="00685825">
      <w:pPr>
        <w:autoSpaceDE w:val="0"/>
        <w:autoSpaceDN w:val="0"/>
        <w:adjustRightInd w:val="0"/>
        <w:jc w:val="both"/>
        <w:outlineLvl w:val="0"/>
        <w:rPr>
          <w:lang w:val="ru-RU" w:eastAsia="ru-RU"/>
        </w:rPr>
      </w:pPr>
      <w:r w:rsidRPr="00B70AA4">
        <w:rPr>
          <w:lang w:val="ru-RU" w:eastAsia="ru-RU"/>
        </w:rPr>
        <w:t xml:space="preserve">                                                                  </w:t>
      </w:r>
      <w:r>
        <w:rPr>
          <w:lang w:val="ru-RU" w:eastAsia="ru-RU"/>
        </w:rPr>
        <w:t xml:space="preserve">               </w:t>
      </w:r>
      <w:r w:rsidRPr="00B70AA4">
        <w:rPr>
          <w:lang w:val="ru-RU" w:eastAsia="ru-RU"/>
        </w:rPr>
        <w:t xml:space="preserve"> (дата получения)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подарка(ов) на _______________________________________________________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lang w:val="ru-RU" w:eastAsia="ru-RU"/>
        </w:rPr>
      </w:pPr>
      <w:r w:rsidRPr="00A70897">
        <w:rPr>
          <w:sz w:val="28"/>
          <w:szCs w:val="28"/>
          <w:lang w:val="ru-RU" w:eastAsia="ru-RU"/>
        </w:rPr>
        <w:t xml:space="preserve">                  </w:t>
      </w:r>
      <w:r w:rsidRPr="00A70897">
        <w:rPr>
          <w:sz w:val="28"/>
          <w:szCs w:val="28"/>
          <w:lang w:val="ru-RU" w:eastAsia="ru-RU"/>
        </w:rPr>
        <w:tab/>
      </w:r>
      <w:r w:rsidRPr="00A70897">
        <w:rPr>
          <w:sz w:val="28"/>
          <w:szCs w:val="28"/>
          <w:lang w:val="ru-RU" w:eastAsia="ru-RU"/>
        </w:rPr>
        <w:tab/>
        <w:t xml:space="preserve">      </w:t>
      </w:r>
      <w:r w:rsidRPr="00A70897">
        <w:rPr>
          <w:lang w:val="ru-RU" w:eastAsia="ru-RU"/>
        </w:rPr>
        <w:t>(наименование протокольного мероприятия, служебной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lang w:val="ru-RU" w:eastAsia="ru-RU"/>
        </w:rPr>
      </w:pPr>
      <w:r w:rsidRPr="00A70897">
        <w:rPr>
          <w:lang w:val="ru-RU" w:eastAsia="ru-RU"/>
        </w:rPr>
        <w:t xml:space="preserve">                  </w:t>
      </w:r>
      <w:r w:rsidRPr="00A70897">
        <w:rPr>
          <w:lang w:val="ru-RU" w:eastAsia="ru-RU"/>
        </w:rPr>
        <w:tab/>
      </w:r>
      <w:r w:rsidRPr="00A70897">
        <w:rPr>
          <w:lang w:val="ru-RU" w:eastAsia="ru-RU"/>
        </w:rPr>
        <w:tab/>
        <w:t xml:space="preserve">      командировки, другого официального мероприятия, место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lang w:val="ru-RU" w:eastAsia="ru-RU"/>
        </w:rPr>
      </w:pPr>
      <w:r w:rsidRPr="00A70897">
        <w:rPr>
          <w:lang w:val="ru-RU" w:eastAsia="ru-RU"/>
        </w:rPr>
        <w:t xml:space="preserve">                                   </w:t>
      </w:r>
      <w:r w:rsidRPr="00A70897">
        <w:rPr>
          <w:lang w:val="ru-RU" w:eastAsia="ru-RU"/>
        </w:rPr>
        <w:tab/>
      </w:r>
      <w:r w:rsidRPr="00A70897">
        <w:rPr>
          <w:lang w:val="ru-RU" w:eastAsia="ru-RU"/>
        </w:rPr>
        <w:tab/>
      </w:r>
      <w:r w:rsidRPr="00A70897">
        <w:rPr>
          <w:lang w:val="ru-RU" w:eastAsia="ru-RU"/>
        </w:rPr>
        <w:tab/>
        <w:t xml:space="preserve">               и дата проведения)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685825" w:rsidRPr="00A70897" w:rsidTr="005E0D3A">
        <w:tc>
          <w:tcPr>
            <w:tcW w:w="2426" w:type="dxa"/>
          </w:tcPr>
          <w:p w:rsidR="00685825" w:rsidRPr="00A70897" w:rsidRDefault="00685825" w:rsidP="005E0D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A70897">
              <w:rPr>
                <w:sz w:val="28"/>
                <w:szCs w:val="28"/>
                <w:lang w:val="ru-RU" w:eastAsia="ru-RU"/>
              </w:rPr>
              <w:t>Наименование подарка</w:t>
            </w:r>
          </w:p>
        </w:tc>
        <w:tc>
          <w:tcPr>
            <w:tcW w:w="3421" w:type="dxa"/>
          </w:tcPr>
          <w:p w:rsidR="00685825" w:rsidRPr="00A70897" w:rsidRDefault="00685825" w:rsidP="005E0D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A70897">
              <w:rPr>
                <w:sz w:val="28"/>
                <w:szCs w:val="28"/>
                <w:lang w:val="ru-RU" w:eastAsia="ru-RU"/>
              </w:rPr>
              <w:t>Характеристика подарка, его описание</w:t>
            </w:r>
          </w:p>
        </w:tc>
        <w:tc>
          <w:tcPr>
            <w:tcW w:w="1881" w:type="dxa"/>
          </w:tcPr>
          <w:p w:rsidR="00685825" w:rsidRPr="00A70897" w:rsidRDefault="00685825" w:rsidP="005E0D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A70897">
              <w:rPr>
                <w:sz w:val="28"/>
                <w:szCs w:val="28"/>
                <w:lang w:val="ru-RU" w:eastAsia="ru-RU"/>
              </w:rPr>
              <w:t>Количество предметов</w:t>
            </w:r>
          </w:p>
        </w:tc>
        <w:tc>
          <w:tcPr>
            <w:tcW w:w="1911" w:type="dxa"/>
          </w:tcPr>
          <w:p w:rsidR="00685825" w:rsidRPr="00A70897" w:rsidRDefault="00685825" w:rsidP="005E0D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A70897">
              <w:rPr>
                <w:sz w:val="28"/>
                <w:szCs w:val="28"/>
                <w:lang w:val="ru-RU" w:eastAsia="ru-RU"/>
              </w:rPr>
              <w:t xml:space="preserve">Стоимость в рублях </w:t>
            </w:r>
            <w:hyperlink w:anchor="Par116" w:history="1">
              <w:r w:rsidRPr="00A70897">
                <w:rPr>
                  <w:color w:val="0000FF"/>
                  <w:sz w:val="28"/>
                  <w:szCs w:val="28"/>
                  <w:lang w:val="ru-RU" w:eastAsia="ru-RU"/>
                </w:rPr>
                <w:t>&lt;*&gt;</w:t>
              </w:r>
            </w:hyperlink>
          </w:p>
        </w:tc>
      </w:tr>
      <w:tr w:rsidR="00685825" w:rsidRPr="00A70897" w:rsidTr="005E0D3A">
        <w:tc>
          <w:tcPr>
            <w:tcW w:w="2426" w:type="dxa"/>
          </w:tcPr>
          <w:p w:rsidR="00685825" w:rsidRPr="00A70897" w:rsidRDefault="00685825" w:rsidP="005E0D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0897">
              <w:rPr>
                <w:sz w:val="28"/>
                <w:szCs w:val="28"/>
                <w:lang w:val="ru-RU" w:eastAsia="ru-RU"/>
              </w:rPr>
              <w:t>1.</w:t>
            </w:r>
          </w:p>
          <w:p w:rsidR="00685825" w:rsidRPr="00A70897" w:rsidRDefault="00685825" w:rsidP="005E0D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0897">
              <w:rPr>
                <w:sz w:val="28"/>
                <w:szCs w:val="28"/>
                <w:lang w:val="ru-RU" w:eastAsia="ru-RU"/>
              </w:rPr>
              <w:t>2.</w:t>
            </w:r>
          </w:p>
          <w:p w:rsidR="00685825" w:rsidRPr="00A70897" w:rsidRDefault="00685825" w:rsidP="005E0D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0897">
              <w:rPr>
                <w:sz w:val="28"/>
                <w:szCs w:val="28"/>
                <w:lang w:val="ru-RU" w:eastAsia="ru-RU"/>
              </w:rPr>
              <w:t>3.</w:t>
            </w:r>
          </w:p>
          <w:p w:rsidR="00685825" w:rsidRPr="00A70897" w:rsidRDefault="00685825" w:rsidP="005E0D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A70897">
              <w:rPr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3421" w:type="dxa"/>
          </w:tcPr>
          <w:p w:rsidR="00685825" w:rsidRPr="00A70897" w:rsidRDefault="00685825" w:rsidP="005E0D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81" w:type="dxa"/>
          </w:tcPr>
          <w:p w:rsidR="00685825" w:rsidRPr="00A70897" w:rsidRDefault="00685825" w:rsidP="005E0D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911" w:type="dxa"/>
          </w:tcPr>
          <w:p w:rsidR="00685825" w:rsidRPr="00A70897" w:rsidRDefault="00685825" w:rsidP="005E0D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685825" w:rsidRPr="00A70897" w:rsidRDefault="00685825" w:rsidP="00685825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Приложение: _________________________________________ на _____ листах.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lang w:val="ru-RU" w:eastAsia="ru-RU"/>
        </w:rPr>
      </w:pPr>
      <w:r w:rsidRPr="00A70897">
        <w:rPr>
          <w:sz w:val="28"/>
          <w:szCs w:val="28"/>
          <w:lang w:val="ru-RU" w:eastAsia="ru-RU"/>
        </w:rPr>
        <w:t xml:space="preserve">                                         </w:t>
      </w:r>
      <w:r w:rsidRPr="00A70897">
        <w:rPr>
          <w:lang w:val="ru-RU" w:eastAsia="ru-RU"/>
        </w:rPr>
        <w:t>(наименование документа)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lastRenderedPageBreak/>
        <w:t>Лицо, представившее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уведомление         _________  _________________________  «__» ____ 20__ г.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lang w:val="ru-RU" w:eastAsia="ru-RU"/>
        </w:rPr>
      </w:pPr>
      <w:r w:rsidRPr="00A70897">
        <w:rPr>
          <w:lang w:val="ru-RU" w:eastAsia="ru-RU"/>
        </w:rPr>
        <w:t xml:space="preserve">                                       (подпись)              (расшифровка подписи)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Лицо,     принявшее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уведомление         _________  _________________________  «__» ____ 20__ г.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lang w:val="ru-RU" w:eastAsia="ru-RU"/>
        </w:rPr>
      </w:pPr>
      <w:r w:rsidRPr="00A70897">
        <w:rPr>
          <w:lang w:val="ru-RU" w:eastAsia="ru-RU"/>
        </w:rPr>
        <w:t xml:space="preserve">                                        (подпись)              (расшифровка подписи)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Регистрационный номер в журнале регистрации уведомлений _______________</w:t>
      </w: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  <w:r w:rsidRPr="00A70897">
        <w:rPr>
          <w:sz w:val="28"/>
          <w:szCs w:val="28"/>
          <w:lang w:val="ru-RU" w:eastAsia="ru-RU"/>
        </w:rPr>
        <w:t>«__» _________ 20__ г.</w:t>
      </w:r>
    </w:p>
    <w:p w:rsidR="00685825" w:rsidRPr="00A70897" w:rsidRDefault="00685825" w:rsidP="0068582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685825" w:rsidRPr="00A70897" w:rsidRDefault="00685825" w:rsidP="0068582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_______________________________</w:t>
      </w:r>
    </w:p>
    <w:p w:rsidR="00685825" w:rsidRPr="00ED49F2" w:rsidRDefault="00685825" w:rsidP="0068582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  <w:lang w:val="ru-RU" w:eastAsia="ru-RU"/>
        </w:rPr>
      </w:pPr>
      <w:bookmarkStart w:id="8" w:name="Par116"/>
      <w:bookmarkEnd w:id="8"/>
      <w:r w:rsidRPr="00A70897">
        <w:rPr>
          <w:sz w:val="28"/>
          <w:szCs w:val="28"/>
          <w:lang w:val="ru-RU" w:eastAsia="ru-RU"/>
        </w:rPr>
        <w:t>&lt;*&gt; Заполняется при наличии документов, подтверждающих стоимость подарка.</w:t>
      </w:r>
    </w:p>
    <w:p w:rsidR="00685825" w:rsidRPr="00ED49F2" w:rsidRDefault="00685825" w:rsidP="00685825">
      <w:pPr>
        <w:spacing w:line="240" w:lineRule="exact"/>
        <w:jc w:val="both"/>
        <w:rPr>
          <w:sz w:val="28"/>
          <w:szCs w:val="28"/>
          <w:lang w:val="ru-RU"/>
        </w:rPr>
      </w:pPr>
    </w:p>
    <w:p w:rsidR="00685825" w:rsidRPr="00ED49F2" w:rsidRDefault="00685825" w:rsidP="00685825">
      <w:pPr>
        <w:spacing w:line="240" w:lineRule="exact"/>
        <w:jc w:val="both"/>
        <w:rPr>
          <w:sz w:val="28"/>
          <w:szCs w:val="28"/>
          <w:lang w:val="ru-RU"/>
        </w:rPr>
      </w:pPr>
    </w:p>
    <w:p w:rsidR="00685825" w:rsidRDefault="00685825" w:rsidP="00685825">
      <w:pPr>
        <w:spacing w:line="240" w:lineRule="exact"/>
        <w:jc w:val="both"/>
        <w:rPr>
          <w:sz w:val="28"/>
          <w:szCs w:val="28"/>
          <w:lang w:val="ru-RU"/>
        </w:rPr>
      </w:pPr>
    </w:p>
    <w:p w:rsidR="00685825" w:rsidRDefault="00685825" w:rsidP="00685825">
      <w:pPr>
        <w:spacing w:line="240" w:lineRule="exact"/>
        <w:jc w:val="both"/>
        <w:rPr>
          <w:sz w:val="28"/>
          <w:szCs w:val="28"/>
          <w:lang w:val="ru-RU"/>
        </w:rPr>
      </w:pPr>
    </w:p>
    <w:p w:rsidR="00685825" w:rsidRDefault="00685825" w:rsidP="00685825">
      <w:pPr>
        <w:spacing w:line="240" w:lineRule="exact"/>
        <w:jc w:val="both"/>
        <w:rPr>
          <w:sz w:val="28"/>
          <w:szCs w:val="28"/>
          <w:lang w:val="ru-RU"/>
        </w:rPr>
      </w:pPr>
    </w:p>
    <w:p w:rsidR="00685825" w:rsidRDefault="00685825" w:rsidP="00685825">
      <w:pPr>
        <w:spacing w:line="240" w:lineRule="exact"/>
        <w:jc w:val="both"/>
        <w:rPr>
          <w:sz w:val="28"/>
          <w:szCs w:val="28"/>
          <w:lang w:val="ru-RU"/>
        </w:rPr>
      </w:pPr>
    </w:p>
    <w:p w:rsidR="00685825" w:rsidRDefault="00685825" w:rsidP="00685825">
      <w:pPr>
        <w:spacing w:line="240" w:lineRule="exact"/>
        <w:jc w:val="both"/>
        <w:rPr>
          <w:sz w:val="28"/>
          <w:szCs w:val="28"/>
          <w:lang w:val="ru-RU"/>
        </w:rPr>
      </w:pPr>
    </w:p>
    <w:p w:rsidR="00685825" w:rsidRDefault="00685825" w:rsidP="00685825">
      <w:pPr>
        <w:spacing w:line="240" w:lineRule="exact"/>
        <w:jc w:val="both"/>
        <w:rPr>
          <w:sz w:val="28"/>
          <w:szCs w:val="28"/>
          <w:lang w:val="ru-RU"/>
        </w:rPr>
      </w:pPr>
    </w:p>
    <w:p w:rsidR="00685825" w:rsidRDefault="00685825" w:rsidP="00685825">
      <w:pPr>
        <w:spacing w:line="240" w:lineRule="exact"/>
        <w:jc w:val="both"/>
        <w:rPr>
          <w:sz w:val="28"/>
          <w:szCs w:val="28"/>
          <w:lang w:val="ru-RU"/>
        </w:rPr>
      </w:pPr>
    </w:p>
    <w:p w:rsidR="00685825" w:rsidRDefault="00685825" w:rsidP="00685825">
      <w:pPr>
        <w:pStyle w:val="ConsPlusNormal"/>
        <w:spacing w:line="240" w:lineRule="exact"/>
        <w:jc w:val="both"/>
      </w:pPr>
    </w:p>
    <w:p w:rsidR="007A51CE" w:rsidRPr="00685825" w:rsidRDefault="007A51CE">
      <w:pPr>
        <w:rPr>
          <w:lang w:val="ru-RU"/>
        </w:rPr>
      </w:pPr>
    </w:p>
    <w:sectPr w:rsidR="007A51CE" w:rsidRPr="00685825" w:rsidSect="00C064CF">
      <w:headerReference w:type="even" r:id="rId6"/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932" w:rsidRDefault="001E0932" w:rsidP="00C064CF">
      <w:r>
        <w:separator/>
      </w:r>
    </w:p>
  </w:endnote>
  <w:endnote w:type="continuationSeparator" w:id="0">
    <w:p w:rsidR="001E0932" w:rsidRDefault="001E0932" w:rsidP="00C06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932" w:rsidRDefault="001E0932" w:rsidP="00C064CF">
      <w:r>
        <w:separator/>
      </w:r>
    </w:p>
  </w:footnote>
  <w:footnote w:type="continuationSeparator" w:id="0">
    <w:p w:rsidR="001E0932" w:rsidRDefault="001E0932" w:rsidP="00C06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269" w:rsidRDefault="00C064CF" w:rsidP="009877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3269" w:rsidRDefault="001E09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1251891"/>
      <w:docPartObj>
        <w:docPartGallery w:val="Page Numbers (Top of Page)"/>
        <w:docPartUnique/>
      </w:docPartObj>
    </w:sdtPr>
    <w:sdtEndPr/>
    <w:sdtContent>
      <w:p w:rsidR="00C064CF" w:rsidRDefault="00972E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4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64CF" w:rsidRDefault="00C064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825"/>
    <w:rsid w:val="001E0932"/>
    <w:rsid w:val="00660399"/>
    <w:rsid w:val="00685825"/>
    <w:rsid w:val="007A51CE"/>
    <w:rsid w:val="00972EF2"/>
    <w:rsid w:val="00C064CF"/>
    <w:rsid w:val="00C9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5E1383"/>
  <w15:docId w15:val="{20B9E22C-EC30-477D-9836-1F503EEF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8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6858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582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685825"/>
  </w:style>
  <w:style w:type="paragraph" w:styleId="a6">
    <w:name w:val="footer"/>
    <w:basedOn w:val="a"/>
    <w:link w:val="a7"/>
    <w:uiPriority w:val="99"/>
    <w:semiHidden/>
    <w:unhideWhenUsed/>
    <w:rsid w:val="00C064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064C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2055</Words>
  <Characters>11714</Characters>
  <Application>Microsoft Office Word</Application>
  <DocSecurity>0</DocSecurity>
  <Lines>97</Lines>
  <Paragraphs>27</Paragraphs>
  <ScaleCrop>false</ScaleCrop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4</cp:revision>
  <dcterms:created xsi:type="dcterms:W3CDTF">2021-05-27T10:06:00Z</dcterms:created>
  <dcterms:modified xsi:type="dcterms:W3CDTF">2021-06-29T05:31:00Z</dcterms:modified>
</cp:coreProperties>
</file>